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5a2995d43e4f1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54647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"Leptir Vrpolje"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335.685,02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328.298,51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7.386,51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14.263,17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14.263,17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6.876,66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ostvaren je manjak prihoda poslovanja u iznosu od 6.876,66 EUR.  Preneseni manjak iz rezultata poslovanja za 2025. iznosi 43.703,16 EUR te s rezultatom iz ovog izvještajnog razdoblja daje manjak poslovanja na kraju izvještajnog razdoblja koji iznosi 50.579,82 EUR.</w:t>
      </w:r>
    </w:p>
    <w:p>
      <w:r>
        <w:t xml:space="preserve">Dječji vrtić je započeo s radom u studenom 2025. godine i u ovome izvještajnom razdoblju nema usporednih podataka s prethodnom godinom.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64.545,53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ostvaren je prihod od proračuna Općine Sikirevci za financiranje rada dječjeg vrtića i iz državnog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56.353,60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je ostvaren prihod od sufinanciranja boravka djece u vrtiću od strane roditelja.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214.785,89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Iskazani iznos se odnosi na prihode iz nadležnog proračuna (Općina Vrpolje) za financiranje redovne djelatnosti.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222.136,56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Iskazani iznos se odnosi na rashode za plaće (bruto) za zaposlenike Dječjeg vrtića.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Iskazani iznos se odnosi na rashode koji se isplaćuju zaposlenima temeljem odluke.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36.652,54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Iskazani iznos se odnosi na rashode za doprinose na plaću za zaposlenike Dječjeg vrtića.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10.986,79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Iskazani iznos se odnosi na rashode za službena putovanja i naknade za prijevoz na posao i s posla.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36.770,42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Iskazani iznos se odnosi na rashode za uredski materijal, materijal i sirovine, materijal za tekuće i investicijsko održavanje, sitni inventar, službenu radnu odjeću.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15.013,54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Iskazani iznos se odnosi na rashode za usluge telefona, tekućeg i investicijskog održavanja, komunalne usluge (odvoz otpada i pražnjenje sabirne jame), troškovi liječničkih pregleda, intelektualnih, računalnih i ostalih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1.588,66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Iskazani iznos se odnosi na plaćenu premiju osiguranja.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10.063,17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je nabavljen uredski namještaj te oprema potrebna za rad dječjeg vrtića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(šifre 4231 do 4234)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je kupljeno vozilo za prijevoz hrane u područni odjel u Sikirevcima.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Dječji Vrtić ''Leptir Vrpolje'' nema dospjelih obveza u izvještajnom razdoblju.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e9ffe5057f4b6b" /></Relationships>
</file>